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EA71" w14:textId="77777777" w:rsidR="00462A02" w:rsidRPr="00F715C6" w:rsidRDefault="00C56A59">
      <w:pPr>
        <w:spacing w:after="0"/>
        <w:ind w:left="144"/>
        <w:jc w:val="center"/>
        <w:rPr>
          <w:sz w:val="24"/>
          <w:szCs w:val="24"/>
        </w:rPr>
      </w:pPr>
      <w:r w:rsidRPr="00F715C6">
        <w:rPr>
          <w:rFonts w:ascii="Times New Roman" w:eastAsia="Times New Roman" w:hAnsi="Times New Roman" w:cs="Times New Roman"/>
          <w:sz w:val="24"/>
          <w:szCs w:val="24"/>
          <w:u w:val="single" w:color="000000"/>
        </w:rPr>
        <w:t>Requirements for Serving on the Board — Unity of Buffalo</w:t>
      </w:r>
    </w:p>
    <w:p w14:paraId="4598C26D" w14:textId="592B61DD" w:rsidR="00462A02" w:rsidRPr="00F715C6" w:rsidRDefault="00C56A59">
      <w:pPr>
        <w:spacing w:after="240" w:line="237" w:lineRule="auto"/>
        <w:ind w:left="122" w:right="64" w:firstLine="4"/>
        <w:jc w:val="both"/>
        <w:rPr>
          <w:sz w:val="24"/>
          <w:szCs w:val="24"/>
        </w:rPr>
      </w:pPr>
      <w:r w:rsidRPr="00F715C6">
        <w:rPr>
          <w:rFonts w:ascii="Times New Roman" w:eastAsia="Times New Roman" w:hAnsi="Times New Roman" w:cs="Times New Roman"/>
          <w:sz w:val="24"/>
          <w:szCs w:val="24"/>
        </w:rPr>
        <w:t xml:space="preserve">To be reviewed at the Annual </w:t>
      </w:r>
      <w:r w:rsidR="00F715C6" w:rsidRPr="00F715C6">
        <w:rPr>
          <w:rFonts w:ascii="Times New Roman" w:eastAsia="Times New Roman" w:hAnsi="Times New Roman" w:cs="Times New Roman"/>
          <w:sz w:val="24"/>
          <w:szCs w:val="24"/>
        </w:rPr>
        <w:t>Meeting prior</w:t>
      </w:r>
      <w:r w:rsidRPr="00F715C6">
        <w:rPr>
          <w:rFonts w:ascii="Times New Roman" w:eastAsia="Times New Roman" w:hAnsi="Times New Roman" w:cs="Times New Roman"/>
          <w:sz w:val="24"/>
          <w:szCs w:val="24"/>
        </w:rPr>
        <w:t xml:space="preserve"> to election of</w:t>
      </w:r>
      <w:r w:rsidR="00F715C6" w:rsidRPr="00F715C6">
        <w:rPr>
          <w:rFonts w:ascii="Times New Roman" w:eastAsia="Times New Roman" w:hAnsi="Times New Roman" w:cs="Times New Roman"/>
          <w:sz w:val="24"/>
          <w:szCs w:val="24"/>
        </w:rPr>
        <w:t xml:space="preserve"> </w:t>
      </w:r>
      <w:r w:rsidRPr="00F715C6">
        <w:rPr>
          <w:rFonts w:ascii="Times New Roman" w:eastAsia="Times New Roman" w:hAnsi="Times New Roman" w:cs="Times New Roman"/>
          <w:sz w:val="24"/>
          <w:szCs w:val="24"/>
        </w:rPr>
        <w:t>new Board members:</w:t>
      </w:r>
    </w:p>
    <w:p w14:paraId="1067A41F" w14:textId="77777777" w:rsidR="00462A02" w:rsidRPr="00F715C6" w:rsidRDefault="00C56A59">
      <w:pPr>
        <w:pStyle w:val="Heading1"/>
        <w:spacing w:after="193"/>
        <w:ind w:left="101"/>
        <w:rPr>
          <w:sz w:val="24"/>
          <w:szCs w:val="24"/>
        </w:rPr>
      </w:pPr>
      <w:r w:rsidRPr="00F715C6">
        <w:rPr>
          <w:sz w:val="24"/>
          <w:szCs w:val="24"/>
        </w:rPr>
        <w:t>Bylaws Section 4.04 - Board of Trustees - Election</w:t>
      </w:r>
    </w:p>
    <w:p w14:paraId="730FE88A" w14:textId="77777777" w:rsidR="00462A02" w:rsidRPr="00F715C6" w:rsidRDefault="00C56A59">
      <w:pPr>
        <w:spacing w:after="264" w:line="237" w:lineRule="auto"/>
        <w:ind w:left="468" w:hanging="367"/>
        <w:jc w:val="both"/>
        <w:rPr>
          <w:sz w:val="24"/>
          <w:szCs w:val="24"/>
        </w:rPr>
      </w:pPr>
      <w:r w:rsidRPr="00F715C6">
        <w:rPr>
          <w:rFonts w:ascii="Times New Roman" w:eastAsia="Times New Roman" w:hAnsi="Times New Roman" w:cs="Times New Roman"/>
          <w:sz w:val="24"/>
          <w:szCs w:val="24"/>
        </w:rPr>
        <w:t xml:space="preserve">(a) </w:t>
      </w:r>
      <w:r w:rsidRPr="00F715C6">
        <w:rPr>
          <w:rFonts w:ascii="Times New Roman" w:eastAsia="Times New Roman" w:hAnsi="Times New Roman" w:cs="Times New Roman"/>
          <w:sz w:val="24"/>
          <w:szCs w:val="24"/>
          <w:u w:val="single" w:color="000000"/>
        </w:rPr>
        <w:t>Qualifications</w:t>
      </w:r>
      <w:r w:rsidRPr="00F715C6">
        <w:rPr>
          <w:rFonts w:ascii="Times New Roman" w:eastAsia="Times New Roman" w:hAnsi="Times New Roman" w:cs="Times New Roman"/>
          <w:sz w:val="24"/>
          <w:szCs w:val="24"/>
        </w:rPr>
        <w:t>. Any person elected to the Board of Trustees must be an active member of the Unity of Buffalo. That person shall be one who:</w:t>
      </w:r>
    </w:p>
    <w:p w14:paraId="4458E793" w14:textId="77777777" w:rsidR="00462A02" w:rsidRPr="00F715C6" w:rsidRDefault="00C56A59">
      <w:pPr>
        <w:numPr>
          <w:ilvl w:val="1"/>
          <w:numId w:val="2"/>
        </w:numPr>
        <w:spacing w:after="306" w:line="254" w:lineRule="auto"/>
        <w:ind w:left="1080" w:right="64"/>
        <w:jc w:val="both"/>
        <w:rPr>
          <w:sz w:val="24"/>
          <w:szCs w:val="24"/>
        </w:rPr>
      </w:pPr>
      <w:r w:rsidRPr="00F715C6">
        <w:rPr>
          <w:rFonts w:ascii="Times New Roman" w:eastAsia="Times New Roman" w:hAnsi="Times New Roman" w:cs="Times New Roman"/>
          <w:sz w:val="24"/>
          <w:szCs w:val="24"/>
        </w:rPr>
        <w:t>Desires to serve on the Board.</w:t>
      </w:r>
    </w:p>
    <w:p w14:paraId="21B8CC8B" w14:textId="77777777" w:rsidR="00462A02" w:rsidRPr="00F715C6" w:rsidRDefault="00C56A59">
      <w:pPr>
        <w:numPr>
          <w:ilvl w:val="1"/>
          <w:numId w:val="2"/>
        </w:numPr>
        <w:spacing w:after="340" w:line="237" w:lineRule="auto"/>
        <w:ind w:left="1080" w:right="64"/>
        <w:jc w:val="both"/>
        <w:rPr>
          <w:sz w:val="24"/>
          <w:szCs w:val="24"/>
        </w:rPr>
      </w:pPr>
      <w:r w:rsidRPr="00F715C6">
        <w:rPr>
          <w:rFonts w:ascii="Times New Roman" w:eastAsia="Times New Roman" w:hAnsi="Times New Roman" w:cs="Times New Roman"/>
          <w:sz w:val="24"/>
          <w:szCs w:val="24"/>
        </w:rPr>
        <w:t>Endeavors to live in accord with the Jesus Christ principles of Love and Truth as taught by Unity.</w:t>
      </w:r>
    </w:p>
    <w:p w14:paraId="498BB7AD" w14:textId="77777777" w:rsidR="00462A02" w:rsidRPr="00F715C6" w:rsidRDefault="00C56A59">
      <w:pPr>
        <w:numPr>
          <w:ilvl w:val="1"/>
          <w:numId w:val="2"/>
        </w:numPr>
        <w:spacing w:after="340" w:line="237" w:lineRule="auto"/>
        <w:ind w:left="1080" w:right="64"/>
        <w:jc w:val="both"/>
        <w:rPr>
          <w:sz w:val="24"/>
          <w:szCs w:val="24"/>
        </w:rPr>
      </w:pPr>
      <w:r w:rsidRPr="00F715C6">
        <w:rPr>
          <w:rFonts w:ascii="Times New Roman" w:eastAsia="Times New Roman" w:hAnsi="Times New Roman" w:cs="Times New Roman"/>
          <w:sz w:val="24"/>
          <w:szCs w:val="24"/>
        </w:rPr>
        <w:t xml:space="preserve">Furthers the work of this Ministry through his active interest, </w:t>
      </w:r>
      <w:proofErr w:type="gramStart"/>
      <w:r w:rsidRPr="00F715C6">
        <w:rPr>
          <w:rFonts w:ascii="Times New Roman" w:eastAsia="Times New Roman" w:hAnsi="Times New Roman" w:cs="Times New Roman"/>
          <w:sz w:val="24"/>
          <w:szCs w:val="24"/>
        </w:rPr>
        <w:t>love</w:t>
      </w:r>
      <w:proofErr w:type="gramEnd"/>
      <w:r w:rsidRPr="00F715C6">
        <w:rPr>
          <w:rFonts w:ascii="Times New Roman" w:eastAsia="Times New Roman" w:hAnsi="Times New Roman" w:cs="Times New Roman"/>
          <w:sz w:val="24"/>
          <w:szCs w:val="24"/>
        </w:rPr>
        <w:t xml:space="preserve"> and support by giving of their time, talent and treasure.</w:t>
      </w:r>
    </w:p>
    <w:p w14:paraId="1012571F" w14:textId="77777777" w:rsidR="00462A02" w:rsidRPr="00F715C6" w:rsidRDefault="00C56A59">
      <w:pPr>
        <w:numPr>
          <w:ilvl w:val="1"/>
          <w:numId w:val="2"/>
        </w:numPr>
        <w:spacing w:after="310" w:line="237" w:lineRule="auto"/>
        <w:ind w:left="1080" w:right="64"/>
        <w:jc w:val="both"/>
        <w:rPr>
          <w:sz w:val="24"/>
          <w:szCs w:val="24"/>
        </w:rPr>
      </w:pPr>
      <w:r w:rsidRPr="00F715C6">
        <w:rPr>
          <w:rFonts w:ascii="Times New Roman" w:eastAsia="Times New Roman" w:hAnsi="Times New Roman" w:cs="Times New Roman"/>
          <w:sz w:val="24"/>
          <w:szCs w:val="24"/>
        </w:rPr>
        <w:t>Is a sincere and continuing student of Unity, conversant with its teachings.</w:t>
      </w:r>
    </w:p>
    <w:p w14:paraId="2AA4E9A0" w14:textId="77777777" w:rsidR="00462A02" w:rsidRPr="00F715C6" w:rsidRDefault="00C56A59">
      <w:pPr>
        <w:numPr>
          <w:ilvl w:val="1"/>
          <w:numId w:val="2"/>
        </w:numPr>
        <w:spacing w:after="340" w:line="237" w:lineRule="auto"/>
        <w:ind w:left="1080" w:right="64"/>
        <w:jc w:val="both"/>
        <w:rPr>
          <w:sz w:val="24"/>
          <w:szCs w:val="24"/>
        </w:rPr>
      </w:pPr>
      <w:r w:rsidRPr="00F715C6">
        <w:rPr>
          <w:rFonts w:ascii="Times New Roman" w:eastAsia="Times New Roman" w:hAnsi="Times New Roman" w:cs="Times New Roman"/>
          <w:sz w:val="24"/>
          <w:szCs w:val="24"/>
        </w:rPr>
        <w:t>Has demonstrated leadership capabilities.</w:t>
      </w:r>
    </w:p>
    <w:p w14:paraId="13A35CCB" w14:textId="77777777" w:rsidR="00462A02" w:rsidRPr="00F715C6" w:rsidRDefault="00C56A59">
      <w:pPr>
        <w:numPr>
          <w:ilvl w:val="1"/>
          <w:numId w:val="2"/>
        </w:numPr>
        <w:spacing w:after="340" w:line="237" w:lineRule="auto"/>
        <w:ind w:left="1080" w:right="64"/>
        <w:jc w:val="both"/>
        <w:rPr>
          <w:sz w:val="24"/>
          <w:szCs w:val="24"/>
        </w:rPr>
      </w:pPr>
      <w:r w:rsidRPr="00F715C6">
        <w:rPr>
          <w:rFonts w:ascii="Times New Roman" w:eastAsia="Times New Roman" w:hAnsi="Times New Roman" w:cs="Times New Roman"/>
          <w:sz w:val="24"/>
          <w:szCs w:val="24"/>
        </w:rPr>
        <w:t>Shall also comply with other qualifications recommended in Church Policy Manual (Qualifications and Duties of Board Members).</w:t>
      </w:r>
    </w:p>
    <w:p w14:paraId="7D2B9E07" w14:textId="77777777" w:rsidR="00462A02" w:rsidRPr="00F715C6" w:rsidRDefault="00C56A59">
      <w:pPr>
        <w:spacing w:after="306" w:line="254" w:lineRule="auto"/>
        <w:ind w:left="21" w:firstLine="4"/>
        <w:rPr>
          <w:sz w:val="24"/>
          <w:szCs w:val="24"/>
        </w:rPr>
      </w:pPr>
      <w:r w:rsidRPr="00F715C6">
        <w:rPr>
          <w:rFonts w:ascii="Times New Roman" w:eastAsia="Times New Roman" w:hAnsi="Times New Roman" w:cs="Times New Roman"/>
          <w:sz w:val="24"/>
          <w:szCs w:val="24"/>
        </w:rPr>
        <w:t>Bylaw Section 4.04-B. Prohibition from Board Service: The following persons are prohibited from serving on the Board of Trustees:</w:t>
      </w:r>
    </w:p>
    <w:p w14:paraId="0D5A5AEC" w14:textId="77777777" w:rsidR="00462A02" w:rsidRPr="00F715C6" w:rsidRDefault="00C56A59">
      <w:pPr>
        <w:numPr>
          <w:ilvl w:val="0"/>
          <w:numId w:val="1"/>
        </w:numPr>
        <w:spacing w:after="340" w:line="237" w:lineRule="auto"/>
        <w:ind w:right="64" w:hanging="367"/>
        <w:jc w:val="both"/>
        <w:rPr>
          <w:sz w:val="24"/>
          <w:szCs w:val="24"/>
        </w:rPr>
      </w:pPr>
      <w:r w:rsidRPr="00F715C6">
        <w:rPr>
          <w:rFonts w:ascii="Times New Roman" w:eastAsia="Times New Roman" w:hAnsi="Times New Roman" w:cs="Times New Roman"/>
          <w:sz w:val="24"/>
          <w:szCs w:val="24"/>
        </w:rPr>
        <w:t>Any active Licensed Unity Teacher.</w:t>
      </w:r>
    </w:p>
    <w:p w14:paraId="5E5EC442" w14:textId="77777777" w:rsidR="00462A02" w:rsidRPr="00F715C6" w:rsidRDefault="00C56A59">
      <w:pPr>
        <w:numPr>
          <w:ilvl w:val="0"/>
          <w:numId w:val="1"/>
        </w:numPr>
        <w:spacing w:after="379" w:line="237" w:lineRule="auto"/>
        <w:ind w:right="64" w:hanging="367"/>
        <w:jc w:val="both"/>
        <w:rPr>
          <w:sz w:val="24"/>
          <w:szCs w:val="24"/>
        </w:rPr>
      </w:pPr>
      <w:r w:rsidRPr="00F715C6">
        <w:rPr>
          <w:rFonts w:ascii="Times New Roman" w:eastAsia="Times New Roman" w:hAnsi="Times New Roman" w:cs="Times New Roman"/>
          <w:sz w:val="24"/>
          <w:szCs w:val="24"/>
        </w:rPr>
        <w:t>Relatives, significant others or household members of any board member or Licensed Unity Teacher.</w:t>
      </w:r>
    </w:p>
    <w:p w14:paraId="749BFE7A" w14:textId="77777777" w:rsidR="00462A02" w:rsidRPr="00F715C6" w:rsidRDefault="00C56A59">
      <w:pPr>
        <w:numPr>
          <w:ilvl w:val="0"/>
          <w:numId w:val="1"/>
        </w:numPr>
        <w:spacing w:after="340" w:line="237" w:lineRule="auto"/>
        <w:ind w:right="64" w:hanging="367"/>
        <w:jc w:val="both"/>
        <w:rPr>
          <w:sz w:val="24"/>
          <w:szCs w:val="24"/>
        </w:rPr>
      </w:pPr>
      <w:r w:rsidRPr="00F715C6">
        <w:rPr>
          <w:rFonts w:ascii="Times New Roman" w:eastAsia="Times New Roman" w:hAnsi="Times New Roman" w:cs="Times New Roman"/>
          <w:sz w:val="24"/>
          <w:szCs w:val="24"/>
        </w:rPr>
        <w:t>Individuals receiving compensation from the ministry with the exception of the senior minister or co-</w:t>
      </w:r>
      <w:proofErr w:type="gramStart"/>
      <w:r w:rsidRPr="00F715C6">
        <w:rPr>
          <w:rFonts w:ascii="Times New Roman" w:eastAsia="Times New Roman" w:hAnsi="Times New Roman" w:cs="Times New Roman"/>
          <w:sz w:val="24"/>
          <w:szCs w:val="24"/>
        </w:rPr>
        <w:t>ministers;</w:t>
      </w:r>
      <w:proofErr w:type="gramEnd"/>
    </w:p>
    <w:p w14:paraId="1F7E7ABE" w14:textId="77777777" w:rsidR="00462A02" w:rsidRPr="00F715C6" w:rsidRDefault="00C56A59">
      <w:pPr>
        <w:numPr>
          <w:ilvl w:val="0"/>
          <w:numId w:val="1"/>
        </w:numPr>
        <w:spacing w:after="317" w:line="237" w:lineRule="auto"/>
        <w:ind w:right="64" w:hanging="367"/>
        <w:jc w:val="both"/>
        <w:rPr>
          <w:sz w:val="24"/>
          <w:szCs w:val="24"/>
        </w:rPr>
      </w:pPr>
      <w:r w:rsidRPr="00F715C6">
        <w:rPr>
          <w:rFonts w:ascii="Times New Roman" w:eastAsia="Times New Roman" w:hAnsi="Times New Roman" w:cs="Times New Roman"/>
          <w:sz w:val="24"/>
          <w:szCs w:val="24"/>
        </w:rPr>
        <w:t>Relatives, significant others, or household members of any individual receiving compensation from the ministry.</w:t>
      </w:r>
    </w:p>
    <w:p w14:paraId="52379E91" w14:textId="77777777" w:rsidR="00462A02" w:rsidRPr="00F715C6" w:rsidRDefault="00C56A59">
      <w:pPr>
        <w:spacing w:after="310"/>
        <w:ind w:left="22"/>
        <w:rPr>
          <w:sz w:val="24"/>
          <w:szCs w:val="24"/>
        </w:rPr>
      </w:pPr>
      <w:r w:rsidRPr="00F715C6">
        <w:rPr>
          <w:rFonts w:ascii="Times New Roman" w:eastAsia="Times New Roman" w:hAnsi="Times New Roman" w:cs="Times New Roman"/>
          <w:sz w:val="24"/>
          <w:szCs w:val="24"/>
        </w:rPr>
        <w:t>Church Policy Manual, Sections 6 and 7:</w:t>
      </w:r>
    </w:p>
    <w:p w14:paraId="3ACB0ED2" w14:textId="77777777" w:rsidR="00462A02" w:rsidRPr="00F715C6" w:rsidRDefault="00C56A59">
      <w:pPr>
        <w:spacing w:after="30" w:line="237" w:lineRule="auto"/>
        <w:ind w:right="64" w:firstLine="4"/>
        <w:jc w:val="both"/>
        <w:rPr>
          <w:sz w:val="24"/>
          <w:szCs w:val="24"/>
        </w:rPr>
      </w:pPr>
      <w:r w:rsidRPr="00F715C6">
        <w:rPr>
          <w:rFonts w:ascii="Times New Roman" w:eastAsia="Times New Roman" w:hAnsi="Times New Roman" w:cs="Times New Roman"/>
          <w:sz w:val="24"/>
          <w:szCs w:val="24"/>
        </w:rPr>
        <w:t>Section 6. - In addition to the requirements outlined in the Church Bylaws, Section 4.05, Board members are required to have a level of "Membership Competency" achieved by taking certain classes to serve on the Board. All Board members shall have completed at least one of the following classes before coming on the Board. The remaining classes can be taken while a person is serving on the Board.</w:t>
      </w:r>
    </w:p>
    <w:p w14:paraId="1B046895" w14:textId="77777777" w:rsidR="00462A02" w:rsidRPr="00F715C6" w:rsidRDefault="00C56A59">
      <w:pPr>
        <w:numPr>
          <w:ilvl w:val="0"/>
          <w:numId w:val="3"/>
        </w:numPr>
        <w:spacing w:after="340" w:line="237" w:lineRule="auto"/>
        <w:ind w:right="194" w:hanging="360"/>
        <w:jc w:val="both"/>
        <w:rPr>
          <w:sz w:val="24"/>
          <w:szCs w:val="24"/>
        </w:rPr>
      </w:pPr>
      <w:r w:rsidRPr="00F715C6">
        <w:rPr>
          <w:rFonts w:ascii="Times New Roman" w:eastAsia="Times New Roman" w:hAnsi="Times New Roman" w:cs="Times New Roman"/>
          <w:sz w:val="24"/>
          <w:szCs w:val="24"/>
        </w:rPr>
        <w:lastRenderedPageBreak/>
        <w:t>One of the following prosperity classes — Keys to the Kingdom, Prosperity Plus or the 4T Prosperity Program.</w:t>
      </w:r>
    </w:p>
    <w:p w14:paraId="132CCAE3" w14:textId="77777777" w:rsidR="00462A02" w:rsidRPr="00F715C6" w:rsidRDefault="00C56A59">
      <w:pPr>
        <w:numPr>
          <w:ilvl w:val="0"/>
          <w:numId w:val="3"/>
        </w:numPr>
        <w:spacing w:after="277" w:line="224" w:lineRule="auto"/>
        <w:ind w:right="194" w:hanging="360"/>
        <w:jc w:val="both"/>
        <w:rPr>
          <w:sz w:val="24"/>
          <w:szCs w:val="24"/>
        </w:rPr>
      </w:pPr>
      <w:r w:rsidRPr="00F715C6">
        <w:rPr>
          <w:rFonts w:ascii="Times New Roman" w:eastAsia="Times New Roman" w:hAnsi="Times New Roman" w:cs="Times New Roman"/>
          <w:sz w:val="24"/>
          <w:szCs w:val="24"/>
          <w:u w:val="single" w:color="000000"/>
        </w:rPr>
        <w:t>The I of the Storm</w:t>
      </w:r>
      <w:r w:rsidRPr="00F715C6">
        <w:rPr>
          <w:rFonts w:ascii="Times New Roman" w:eastAsia="Times New Roman" w:hAnsi="Times New Roman" w:cs="Times New Roman"/>
          <w:sz w:val="24"/>
          <w:szCs w:val="24"/>
        </w:rPr>
        <w:t xml:space="preserve"> and/or The Art and Practice class </w:t>
      </w:r>
      <w:r w:rsidRPr="00F715C6">
        <w:rPr>
          <w:noProof/>
          <w:sz w:val="24"/>
          <w:szCs w:val="24"/>
        </w:rPr>
        <w:drawing>
          <wp:inline distT="0" distB="0" distL="0" distR="0" wp14:anchorId="2B7D8466" wp14:editId="094CF4BB">
            <wp:extent cx="22873" cy="27432"/>
            <wp:effectExtent l="0" t="0" r="0" b="0"/>
            <wp:docPr id="3417" name="Picture 3417"/>
            <wp:cNvGraphicFramePr/>
            <a:graphic xmlns:a="http://schemas.openxmlformats.org/drawingml/2006/main">
              <a:graphicData uri="http://schemas.openxmlformats.org/drawingml/2006/picture">
                <pic:pic xmlns:pic="http://schemas.openxmlformats.org/drawingml/2006/picture">
                  <pic:nvPicPr>
                    <pic:cNvPr id="3417" name="Picture 3417"/>
                    <pic:cNvPicPr/>
                  </pic:nvPicPr>
                  <pic:blipFill>
                    <a:blip r:embed="rId5"/>
                    <a:stretch>
                      <a:fillRect/>
                    </a:stretch>
                  </pic:blipFill>
                  <pic:spPr>
                    <a:xfrm>
                      <a:off x="0" y="0"/>
                      <a:ext cx="22873" cy="27432"/>
                    </a:xfrm>
                    <a:prstGeom prst="rect">
                      <a:avLst/>
                    </a:prstGeom>
                  </pic:spPr>
                </pic:pic>
              </a:graphicData>
            </a:graphic>
          </wp:inline>
        </w:drawing>
      </w:r>
      <w:r w:rsidRPr="00F715C6">
        <w:rPr>
          <w:rFonts w:ascii="Times New Roman" w:eastAsia="Times New Roman" w:hAnsi="Times New Roman" w:cs="Times New Roman"/>
          <w:sz w:val="24"/>
          <w:szCs w:val="24"/>
        </w:rPr>
        <w:t xml:space="preserve">o At least two other basic Unity classes such as </w:t>
      </w:r>
      <w:r w:rsidRPr="00F715C6">
        <w:rPr>
          <w:rFonts w:ascii="Times New Roman" w:eastAsia="Times New Roman" w:hAnsi="Times New Roman" w:cs="Times New Roman"/>
          <w:sz w:val="24"/>
          <w:szCs w:val="24"/>
          <w:u w:val="single" w:color="000000"/>
        </w:rPr>
        <w:t>Lessons in Truth,</w:t>
      </w:r>
      <w:r w:rsidRPr="00F715C6">
        <w:rPr>
          <w:rFonts w:ascii="Times New Roman" w:eastAsia="Times New Roman" w:hAnsi="Times New Roman" w:cs="Times New Roman"/>
          <w:sz w:val="24"/>
          <w:szCs w:val="24"/>
        </w:rPr>
        <w:t xml:space="preserve"> </w:t>
      </w:r>
      <w:r w:rsidRPr="00F715C6">
        <w:rPr>
          <w:rFonts w:ascii="Times New Roman" w:eastAsia="Times New Roman" w:hAnsi="Times New Roman" w:cs="Times New Roman"/>
          <w:sz w:val="24"/>
          <w:szCs w:val="24"/>
          <w:u w:val="single" w:color="000000"/>
        </w:rPr>
        <w:t>Discover the Power Within</w:t>
      </w:r>
      <w:r w:rsidRPr="00F715C6">
        <w:rPr>
          <w:rFonts w:ascii="Times New Roman" w:eastAsia="Times New Roman" w:hAnsi="Times New Roman" w:cs="Times New Roman"/>
          <w:sz w:val="24"/>
          <w:szCs w:val="24"/>
        </w:rPr>
        <w:t xml:space="preserve"> etc.</w:t>
      </w:r>
    </w:p>
    <w:p w14:paraId="38702721" w14:textId="77777777" w:rsidR="00462A02" w:rsidRPr="00F715C6" w:rsidRDefault="00C56A59">
      <w:pPr>
        <w:spacing w:after="277" w:line="224" w:lineRule="auto"/>
        <w:ind w:left="28" w:right="216" w:firstLine="4"/>
        <w:jc w:val="both"/>
        <w:rPr>
          <w:sz w:val="24"/>
          <w:szCs w:val="24"/>
        </w:rPr>
      </w:pPr>
      <w:r w:rsidRPr="00F715C6">
        <w:rPr>
          <w:rFonts w:ascii="Times New Roman" w:eastAsia="Times New Roman" w:hAnsi="Times New Roman" w:cs="Times New Roman"/>
          <w:sz w:val="24"/>
          <w:szCs w:val="24"/>
        </w:rPr>
        <w:t>Section 7. - Board members must uphold and demonstrate Truth principles, give 6-8 hours of time per month as a Board member, demonstrate commitment to the Church by regular attendance at Sunday services and meetings, have attended the Minister's classes and be a volunteer in the Church in some service activity on a regular basis.</w:t>
      </w:r>
    </w:p>
    <w:p w14:paraId="4199ED76" w14:textId="77777777" w:rsidR="00462A02" w:rsidRPr="00F715C6" w:rsidRDefault="00C56A59">
      <w:pPr>
        <w:spacing w:after="277" w:line="224" w:lineRule="auto"/>
        <w:ind w:left="28" w:right="411" w:firstLine="4"/>
        <w:jc w:val="both"/>
        <w:rPr>
          <w:sz w:val="24"/>
          <w:szCs w:val="24"/>
        </w:rPr>
      </w:pPr>
      <w:r w:rsidRPr="00F715C6">
        <w:rPr>
          <w:rFonts w:ascii="Times New Roman" w:eastAsia="Times New Roman" w:hAnsi="Times New Roman" w:cs="Times New Roman"/>
          <w:sz w:val="24"/>
          <w:szCs w:val="24"/>
        </w:rPr>
        <w:t>Additionally, it is the responsibility of all Board members to support the Church financially with their tithes and love offerings- The commitment to serve on the Board implies a commitment to expand our prosperity consciousness to the place that we can give our full tithe of 10% of our income to the Church joyously.</w:t>
      </w:r>
    </w:p>
    <w:p w14:paraId="4937A4DA" w14:textId="578A8EA8" w:rsidR="00462A02" w:rsidRPr="00F715C6" w:rsidRDefault="00C56A59">
      <w:pPr>
        <w:spacing w:after="35" w:line="224" w:lineRule="auto"/>
        <w:ind w:left="28" w:right="216" w:firstLine="4"/>
        <w:jc w:val="both"/>
        <w:rPr>
          <w:sz w:val="24"/>
          <w:szCs w:val="24"/>
        </w:rPr>
      </w:pPr>
      <w:r w:rsidRPr="00F715C6">
        <w:rPr>
          <w:rFonts w:ascii="Times New Roman" w:eastAsia="Times New Roman" w:hAnsi="Times New Roman" w:cs="Times New Roman"/>
          <w:sz w:val="24"/>
          <w:szCs w:val="24"/>
        </w:rPr>
        <w:t>Further</w:t>
      </w:r>
      <w:r w:rsidR="00F715C6">
        <w:rPr>
          <w:noProof/>
          <w:sz w:val="24"/>
          <w:szCs w:val="24"/>
        </w:rPr>
        <w:t xml:space="preserve"> </w:t>
      </w:r>
      <w:r w:rsidRPr="00F715C6">
        <w:rPr>
          <w:noProof/>
          <w:sz w:val="24"/>
          <w:szCs w:val="24"/>
        </w:rPr>
        <w:drawing>
          <wp:inline distT="0" distB="0" distL="0" distR="0" wp14:anchorId="68555BD5" wp14:editId="2DB0F989">
            <wp:extent cx="45747" cy="18288"/>
            <wp:effectExtent l="0" t="0" r="0" b="0"/>
            <wp:docPr id="3418" name="Picture 3418"/>
            <wp:cNvGraphicFramePr/>
            <a:graphic xmlns:a="http://schemas.openxmlformats.org/drawingml/2006/main">
              <a:graphicData uri="http://schemas.openxmlformats.org/drawingml/2006/picture">
                <pic:pic xmlns:pic="http://schemas.openxmlformats.org/drawingml/2006/picture">
                  <pic:nvPicPr>
                    <pic:cNvPr id="3418" name="Picture 3418"/>
                    <pic:cNvPicPr/>
                  </pic:nvPicPr>
                  <pic:blipFill>
                    <a:blip r:embed="rId6"/>
                    <a:stretch>
                      <a:fillRect/>
                    </a:stretch>
                  </pic:blipFill>
                  <pic:spPr>
                    <a:xfrm>
                      <a:off x="0" y="0"/>
                      <a:ext cx="45747" cy="18288"/>
                    </a:xfrm>
                    <a:prstGeom prst="rect">
                      <a:avLst/>
                    </a:prstGeom>
                  </pic:spPr>
                </pic:pic>
              </a:graphicData>
            </a:graphic>
          </wp:inline>
        </w:drawing>
      </w:r>
    </w:p>
    <w:p w14:paraId="76BC28FE" w14:textId="77777777" w:rsidR="00462A02" w:rsidRPr="00F715C6" w:rsidRDefault="00C56A59">
      <w:pPr>
        <w:spacing w:after="0" w:line="231" w:lineRule="auto"/>
        <w:ind w:left="389" w:right="94" w:firstLine="7"/>
        <w:rPr>
          <w:sz w:val="24"/>
          <w:szCs w:val="24"/>
        </w:rPr>
      </w:pPr>
      <w:r w:rsidRPr="00F715C6">
        <w:rPr>
          <w:rFonts w:ascii="Times New Roman" w:eastAsia="Times New Roman" w:hAnsi="Times New Roman" w:cs="Times New Roman"/>
          <w:sz w:val="24"/>
          <w:szCs w:val="24"/>
        </w:rPr>
        <w:t>Board members are expected to be faithful in attending all Board meetings (as much as possible), to attend any trainings or retreats that the Board agrees to be part of, uphold the spiritual purpose of this ministry, uphold the highest interest of the membership in conducting the business of the ministry, sign and adhere to a Code of Ethics as recommended by our Unity Worldwide Ministries and a Conflict of Interest statement.</w:t>
      </w:r>
    </w:p>
    <w:sectPr w:rsidR="00462A02" w:rsidRPr="00F715C6">
      <w:pgSz w:w="12240" w:h="15840"/>
      <w:pgMar w:top="1113" w:right="1808" w:bottom="1779" w:left="15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1571"/>
    <w:multiLevelType w:val="hybridMultilevel"/>
    <w:tmpl w:val="9BBE488A"/>
    <w:lvl w:ilvl="0" w:tplc="576085D6">
      <w:start w:val="1"/>
      <w:numFmt w:val="bullet"/>
      <w:lvlText w:val="o"/>
      <w:lvlJc w:val="left"/>
      <w:pPr>
        <w:ind w:left="1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58E05E">
      <w:start w:val="1"/>
      <w:numFmt w:val="bullet"/>
      <w:lvlText w:val="o"/>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56632E">
      <w:start w:val="1"/>
      <w:numFmt w:val="bullet"/>
      <w:lvlText w:val="▪"/>
      <w:lvlJc w:val="left"/>
      <w:pPr>
        <w:ind w:left="2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6839E">
      <w:start w:val="1"/>
      <w:numFmt w:val="bullet"/>
      <w:lvlText w:val="•"/>
      <w:lvlJc w:val="left"/>
      <w:pPr>
        <w:ind w:left="3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C33EE">
      <w:start w:val="1"/>
      <w:numFmt w:val="bullet"/>
      <w:lvlText w:val="o"/>
      <w:lvlJc w:val="left"/>
      <w:pPr>
        <w:ind w:left="3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6E366">
      <w:start w:val="1"/>
      <w:numFmt w:val="bullet"/>
      <w:lvlText w:val="▪"/>
      <w:lvlJc w:val="left"/>
      <w:pPr>
        <w:ind w:left="4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8CE80">
      <w:start w:val="1"/>
      <w:numFmt w:val="bullet"/>
      <w:lvlText w:val="•"/>
      <w:lvlJc w:val="left"/>
      <w:pPr>
        <w:ind w:left="5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2490F0">
      <w:start w:val="1"/>
      <w:numFmt w:val="bullet"/>
      <w:lvlText w:val="o"/>
      <w:lvlJc w:val="left"/>
      <w:pPr>
        <w:ind w:left="6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8717C">
      <w:start w:val="1"/>
      <w:numFmt w:val="bullet"/>
      <w:lvlText w:val="▪"/>
      <w:lvlJc w:val="left"/>
      <w:pPr>
        <w:ind w:left="6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157BBF"/>
    <w:multiLevelType w:val="hybridMultilevel"/>
    <w:tmpl w:val="39FE4470"/>
    <w:lvl w:ilvl="0" w:tplc="E72866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5A1AA2">
      <w:start w:val="1"/>
      <w:numFmt w:val="decimal"/>
      <w:lvlRestart w:val="0"/>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AA8F84">
      <w:start w:val="1"/>
      <w:numFmt w:val="lowerRoman"/>
      <w:lvlText w:val="%3"/>
      <w:lvlJc w:val="left"/>
      <w:pPr>
        <w:ind w:left="2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04C47C">
      <w:start w:val="1"/>
      <w:numFmt w:val="decimal"/>
      <w:lvlText w:val="%4"/>
      <w:lvlJc w:val="left"/>
      <w:pPr>
        <w:ind w:left="2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7CC9B8">
      <w:start w:val="1"/>
      <w:numFmt w:val="lowerLetter"/>
      <w:lvlText w:val="%5"/>
      <w:lvlJc w:val="left"/>
      <w:pPr>
        <w:ind w:left="3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400FF4">
      <w:start w:val="1"/>
      <w:numFmt w:val="lowerRoman"/>
      <w:lvlText w:val="%6"/>
      <w:lvlJc w:val="left"/>
      <w:pPr>
        <w:ind w:left="4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4E1790">
      <w:start w:val="1"/>
      <w:numFmt w:val="decimal"/>
      <w:lvlText w:val="%7"/>
      <w:lvlJc w:val="left"/>
      <w:pPr>
        <w:ind w:left="5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0ADDAA">
      <w:start w:val="1"/>
      <w:numFmt w:val="lowerLetter"/>
      <w:lvlText w:val="%8"/>
      <w:lvlJc w:val="left"/>
      <w:pPr>
        <w:ind w:left="5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46E4AC">
      <w:start w:val="1"/>
      <w:numFmt w:val="lowerRoman"/>
      <w:lvlText w:val="%9"/>
      <w:lvlJc w:val="left"/>
      <w:pPr>
        <w:ind w:left="6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8C452CD"/>
    <w:multiLevelType w:val="hybridMultilevel"/>
    <w:tmpl w:val="8BF01B48"/>
    <w:lvl w:ilvl="0" w:tplc="01EE5AE8">
      <w:start w:val="1"/>
      <w:numFmt w:val="decimal"/>
      <w:lvlText w:val="%1."/>
      <w:lvlJc w:val="left"/>
      <w:pPr>
        <w:ind w:left="1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D8408A">
      <w:start w:val="1"/>
      <w:numFmt w:val="lowerLetter"/>
      <w:lvlText w:val="%2"/>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2C66BA">
      <w:start w:val="1"/>
      <w:numFmt w:val="lowerRoman"/>
      <w:lvlText w:val="%3"/>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A4F3E2">
      <w:start w:val="1"/>
      <w:numFmt w:val="decimal"/>
      <w:lvlText w:val="%4"/>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8EA68A">
      <w:start w:val="1"/>
      <w:numFmt w:val="lowerLetter"/>
      <w:lvlText w:val="%5"/>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842B30">
      <w:start w:val="1"/>
      <w:numFmt w:val="lowerRoman"/>
      <w:lvlText w:val="%6"/>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860F8E">
      <w:start w:val="1"/>
      <w:numFmt w:val="decimal"/>
      <w:lvlText w:val="%7"/>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82AA66">
      <w:start w:val="1"/>
      <w:numFmt w:val="lowerLetter"/>
      <w:lvlText w:val="%8"/>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B6EA1A">
      <w:start w:val="1"/>
      <w:numFmt w:val="lowerRoman"/>
      <w:lvlText w:val="%9"/>
      <w:lvlJc w:val="left"/>
      <w:pPr>
        <w:ind w:left="6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02"/>
    <w:rsid w:val="00462A02"/>
    <w:rsid w:val="00C56A59"/>
    <w:rsid w:val="00F7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265"/>
  <w15:docId w15:val="{6D07292D-537C-4F4D-9CF4-D4363D7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Masters</dc:creator>
  <cp:keywords/>
  <cp:lastModifiedBy>Mary Masters</cp:lastModifiedBy>
  <cp:revision>3</cp:revision>
  <cp:lastPrinted>2020-10-20T20:47:00Z</cp:lastPrinted>
  <dcterms:created xsi:type="dcterms:W3CDTF">2020-10-20T20:33:00Z</dcterms:created>
  <dcterms:modified xsi:type="dcterms:W3CDTF">2020-10-20T20:48:00Z</dcterms:modified>
</cp:coreProperties>
</file>